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7D" w:rsidRDefault="00671E7D" w:rsidP="001B2726">
      <w:r w:rsidRPr="00F45B53">
        <w:t xml:space="preserve">Перечень вопросов </w:t>
      </w:r>
      <w:r>
        <w:t>зачёта по НИР</w:t>
      </w:r>
    </w:p>
    <w:p w:rsidR="00671E7D" w:rsidRPr="00F45B53" w:rsidRDefault="00671E7D" w:rsidP="001B2726"/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1. Государственный образовательный стандарт, учебный план направления и профиля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2. Учебный план по направлению «Электроэнергетика и электротехника» для избранного профиля подготовки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 xml:space="preserve">3. </w:t>
      </w:r>
      <w:proofErr w:type="gramStart"/>
      <w:r w:rsidRPr="00D14952">
        <w:rPr>
          <w:color w:val="000000"/>
        </w:rPr>
        <w:t>Условия  и</w:t>
      </w:r>
      <w:proofErr w:type="gramEnd"/>
      <w:r w:rsidRPr="00D14952">
        <w:rPr>
          <w:color w:val="000000"/>
        </w:rPr>
        <w:t xml:space="preserve"> сроки обучения в ВУЗе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4. Обязанности и права студентов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5. Техника безопасности в лабораториях кафедры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6. Классификация видов энергии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 xml:space="preserve">7. Возобновляемые и </w:t>
      </w:r>
      <w:proofErr w:type="spellStart"/>
      <w:r w:rsidRPr="00D14952">
        <w:rPr>
          <w:color w:val="000000"/>
        </w:rPr>
        <w:t>невозобновляемые</w:t>
      </w:r>
      <w:proofErr w:type="spellEnd"/>
      <w:r w:rsidRPr="00D14952">
        <w:rPr>
          <w:color w:val="000000"/>
        </w:rPr>
        <w:t xml:space="preserve"> энергетические ресурсы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8. Охарактеризуйте солнечную энергию, как основной первичный источник энергии на Земле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9. Охарактеризуйте гидроэнергетические ресурсы на Земле и различных стран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10. Оцените современное мировое потребление энергии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11. Назовите и поясните причины преимущественного использования электрической энергии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 xml:space="preserve">12. Свеча </w:t>
      </w:r>
      <w:proofErr w:type="spellStart"/>
      <w:r w:rsidRPr="00D14952">
        <w:rPr>
          <w:color w:val="000000"/>
        </w:rPr>
        <w:t>П.Н.Яблочкова</w:t>
      </w:r>
      <w:proofErr w:type="spellEnd"/>
      <w:r w:rsidRPr="00D14952">
        <w:rPr>
          <w:color w:val="000000"/>
        </w:rPr>
        <w:t>. Устройство и принцип действия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13. История развития энергетики в России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14. Где, когда и кем была построена первая электростанция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15. Отрицательные воздействия энергетики на окружающую среду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16. Перспективные направления развития энергетики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17. Что такое электроэнергетическая система. Её составляющие, преимущества в работе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18. Кем осуществляется оперативное управление электроэнергетическими системами.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19. Основная особенность процесса производства и потребления электроэнергии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20. Организация управления энергетикой России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21. Основные физические величины в энергетике и их перевод из одной системы единиц в другую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22. Основные термодинамические процессы и укажите энергобаланс этих процессов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23. Процесс теплообмена и его физическая сущность. Виды теплообмена.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24. Физические процессы теплообмена при изменении агрегатного состояния вещества (кипение и конденсация)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25. Устройство и принцип действия тепловой машины.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26. Типы ТЭС (характеристики)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lastRenderedPageBreak/>
        <w:t>27. Структурная схема КЭС и назначение её элементов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28. Принципиальная тепловая схема КЭС и принцип ее работы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29. Тепловой баланс КЭС и её КПД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30. Типы АЭС и их сравнительная характеристика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31. Устройство и принцип работы ядерного реактора на тепловых нейтронах.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32. Устройство водо-водяных реакторов типа ВВЭР и их основные преимущества перед реакторами типа РБМК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33. Основные направления развития АЭС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34. ГЭС и их основные типы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35. Особенности использования ГЭС в энергосистеме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36. Основные виды плотин ГЭС.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37. Классы и виды гидротурбин, особенности их конструкции и использования.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38. Энергоресурсы солнечной энергетики России.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39. Оценка энергии ветра на земном шаре и на территории России.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40. Геотермальная энергетика.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41. Виды идеальных источников электроэнергии (характеристики)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42. Изучение и проведение работ в лабораториях кафедры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43. Человек и электрический ток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44. Закон электромагнитной индукции</w:t>
      </w:r>
    </w:p>
    <w:p w:rsidR="00D14952" w:rsidRPr="00D14952" w:rsidRDefault="00D14952" w:rsidP="00D14952">
      <w:pPr>
        <w:spacing w:after="160" w:line="276" w:lineRule="auto"/>
        <w:rPr>
          <w:color w:val="000000"/>
        </w:rPr>
      </w:pPr>
      <w:r w:rsidRPr="00D14952">
        <w:rPr>
          <w:color w:val="000000"/>
        </w:rPr>
        <w:t>45. Правила Кирхгофа. Закон Ома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>46. Гармоническое напряжение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 xml:space="preserve">47. Определить какое линейное </w:t>
      </w:r>
      <w:proofErr w:type="gramStart"/>
      <w:r w:rsidRPr="00D14952">
        <w:rPr>
          <w:rFonts w:eastAsia="Calibri"/>
          <w:lang w:eastAsia="en-US"/>
        </w:rPr>
        <w:t>напряжение  сети</w:t>
      </w:r>
      <w:proofErr w:type="gramEnd"/>
      <w:r w:rsidRPr="00D14952">
        <w:rPr>
          <w:rFonts w:eastAsia="Calibri"/>
          <w:lang w:eastAsia="en-US"/>
        </w:rPr>
        <w:t xml:space="preserve"> 220/127 В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>48. Определить какое фазное напряжение в сети 380/220 В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 xml:space="preserve">49. В сети с номинальным напряжением 110 </w:t>
      </w:r>
      <w:proofErr w:type="spellStart"/>
      <w:r w:rsidRPr="00D14952">
        <w:rPr>
          <w:rFonts w:eastAsia="Calibri"/>
          <w:lang w:eastAsia="en-US"/>
        </w:rPr>
        <w:t>кВ</w:t>
      </w:r>
      <w:proofErr w:type="spellEnd"/>
      <w:r w:rsidRPr="00D14952">
        <w:rPr>
          <w:rFonts w:eastAsia="Calibri"/>
          <w:lang w:eastAsia="en-US"/>
        </w:rPr>
        <w:t xml:space="preserve"> чему равно фазное напряжение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 xml:space="preserve">50. В сети с номинальным напряжением 220 </w:t>
      </w:r>
      <w:proofErr w:type="spellStart"/>
      <w:r w:rsidRPr="00D14952">
        <w:rPr>
          <w:rFonts w:eastAsia="Calibri"/>
          <w:lang w:eastAsia="en-US"/>
        </w:rPr>
        <w:t>кВ</w:t>
      </w:r>
      <w:proofErr w:type="spellEnd"/>
      <w:r w:rsidRPr="00D14952">
        <w:rPr>
          <w:rFonts w:eastAsia="Calibri"/>
          <w:lang w:eastAsia="en-US"/>
        </w:rPr>
        <w:t xml:space="preserve"> чему равно линейное напряжение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>51. Трансформатор тока и трансформатор напряжения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>52. Графическое отображение взаимосвязи элементов схем выработки и распределения электрической и тепловой энергии</w:t>
      </w:r>
    </w:p>
    <w:p w:rsidR="00D14952" w:rsidRPr="00D14952" w:rsidRDefault="00D14952" w:rsidP="00D14952">
      <w:pPr>
        <w:spacing w:after="160" w:line="276" w:lineRule="auto"/>
        <w:rPr>
          <w:rFonts w:eastAsia="Calibri"/>
          <w:lang w:eastAsia="en-US"/>
        </w:rPr>
      </w:pPr>
      <w:r w:rsidRPr="00D14952">
        <w:rPr>
          <w:rFonts w:eastAsia="Calibri"/>
          <w:lang w:eastAsia="en-US"/>
        </w:rPr>
        <w:t xml:space="preserve">53. Графическое отображение отдельных элементов электроэнергетической системы и их взаимосвязи </w:t>
      </w:r>
      <w:proofErr w:type="gramStart"/>
      <w:r w:rsidRPr="00D14952">
        <w:rPr>
          <w:rFonts w:eastAsia="Calibri"/>
          <w:lang w:eastAsia="en-US"/>
        </w:rPr>
        <w:t>при  выработке</w:t>
      </w:r>
      <w:proofErr w:type="gramEnd"/>
      <w:r w:rsidRPr="00D14952">
        <w:rPr>
          <w:rFonts w:eastAsia="Calibri"/>
          <w:lang w:eastAsia="en-US"/>
        </w:rPr>
        <w:t>, передаче и распределении электрической энергии</w:t>
      </w:r>
    </w:p>
    <w:p w:rsidR="00671E7D" w:rsidRPr="00D14952" w:rsidRDefault="00D14952" w:rsidP="00D14952">
      <w:pPr>
        <w:spacing w:after="160" w:line="276" w:lineRule="auto"/>
        <w:rPr>
          <w:rStyle w:val="FontStyle27"/>
          <w:rFonts w:eastAsia="Calibri"/>
          <w:color w:val="auto"/>
          <w:sz w:val="24"/>
          <w:lang w:eastAsia="en-US"/>
        </w:rPr>
      </w:pPr>
      <w:r w:rsidRPr="00D14952">
        <w:rPr>
          <w:rFonts w:eastAsia="Calibri"/>
          <w:lang w:eastAsia="en-US"/>
        </w:rPr>
        <w:t>54. Описание процессов производства электроэнергии на промышленных электростанциях</w:t>
      </w:r>
      <w:bookmarkStart w:id="0" w:name="_GoBack"/>
      <w:bookmarkEnd w:id="0"/>
    </w:p>
    <w:p w:rsidR="00671E7D" w:rsidRPr="006E53B2" w:rsidRDefault="00671E7D" w:rsidP="006E53B2">
      <w:pPr>
        <w:jc w:val="center"/>
        <w:rPr>
          <w:b/>
          <w:sz w:val="28"/>
          <w:szCs w:val="28"/>
        </w:rPr>
      </w:pPr>
      <w:r w:rsidRPr="006E53B2">
        <w:rPr>
          <w:b/>
          <w:sz w:val="28"/>
          <w:szCs w:val="28"/>
        </w:rPr>
        <w:lastRenderedPageBreak/>
        <w:t>Критерии итоговой оценки результатов ГЭ</w:t>
      </w:r>
    </w:p>
    <w:p w:rsidR="00671E7D" w:rsidRDefault="00671E7D" w:rsidP="006E53B2">
      <w:pPr>
        <w:jc w:val="center"/>
      </w:pPr>
    </w:p>
    <w:tbl>
      <w:tblPr>
        <w:tblW w:w="103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2"/>
        <w:gridCol w:w="826"/>
        <w:gridCol w:w="4500"/>
        <w:gridCol w:w="3366"/>
      </w:tblGrid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pPr>
              <w:jc w:val="center"/>
            </w:pPr>
            <w:r w:rsidRPr="00472C65">
              <w:t>Уровни</w:t>
            </w:r>
          </w:p>
        </w:tc>
        <w:tc>
          <w:tcPr>
            <w:tcW w:w="4500" w:type="dxa"/>
          </w:tcPr>
          <w:p w:rsidR="00671E7D" w:rsidRPr="00472C65" w:rsidRDefault="00671E7D" w:rsidP="009E06F9">
            <w:pPr>
              <w:jc w:val="center"/>
            </w:pPr>
            <w:r w:rsidRPr="00F45B53">
              <w:t xml:space="preserve">Критерии выполнения 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Итоговая оценка</w:t>
            </w:r>
          </w:p>
        </w:tc>
      </w:tr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r w:rsidRPr="00472C65">
              <w:t>Недостаточный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Имеет представление о содержании дисциплин,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      </w:r>
            <w:r w:rsidRPr="004F4DFF">
              <w:rPr>
                <w:color w:val="000000"/>
                <w:spacing w:val="-4"/>
              </w:rPr>
              <w:t xml:space="preserve">выбирать оптимальные решения с учётом требований качества, надёжности и стоимости при совершенствовании существующих и разработке новых </w:t>
            </w:r>
            <w:r>
              <w:rPr>
                <w:color w:val="000000"/>
                <w:spacing w:val="-4"/>
              </w:rPr>
              <w:t>объектов электроэнергетики</w:t>
            </w:r>
            <w:r w:rsidRPr="004F4DFF">
              <w:rPr>
                <w:color w:val="000000"/>
                <w:spacing w:val="-4"/>
              </w:rPr>
              <w:t>.</w:t>
            </w:r>
            <w:r w:rsidRPr="004F4DFF">
              <w:t xml:space="preserve"> Не владеет достаточными знаниями </w:t>
            </w:r>
            <w:r>
              <w:t>по расчёту токов короткого замыкания</w:t>
            </w:r>
            <w:r w:rsidRPr="004F4DFF">
              <w:t>. Не знает специализированн</w:t>
            </w:r>
            <w:r>
              <w:t>ой</w:t>
            </w:r>
            <w:r w:rsidRPr="004F4DFF">
              <w:t xml:space="preserve"> </w:t>
            </w:r>
            <w:r>
              <w:t>программы расчёта тока короткого замыкания.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 xml:space="preserve">Неудовлетворительно </w:t>
            </w:r>
          </w:p>
        </w:tc>
      </w:tr>
      <w:tr w:rsidR="00671E7D" w:rsidRPr="00472C65" w:rsidTr="006E53B2">
        <w:tc>
          <w:tcPr>
            <w:tcW w:w="2448" w:type="dxa"/>
            <w:gridSpan w:val="2"/>
          </w:tcPr>
          <w:p w:rsidR="00671E7D" w:rsidRPr="00472C65" w:rsidRDefault="00671E7D" w:rsidP="009E06F9">
            <w:r w:rsidRPr="00472C65">
              <w:t>Базовый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 и воспроизводит основные определения, и законы теории; владеет символикой; в соответствии с заданием применяет знания для выполнения типового задания, в котором очевиден способ решения; оценивает достоверность полученного решения. Знает в достаточной мере </w:t>
            </w:r>
            <w:r>
              <w:t xml:space="preserve">методы расчёта токов короткого замыкания и методику проверки электрооборудования на термическую динамическую прочность. Владеет методами расчёта статической и динамической устойчивости электрических систем. Знает основные типы защит и автоматики электрических систем и методы оптимизации транспорта электрической энергии.  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Удовлетвори</w:t>
            </w:r>
            <w:r>
              <w:t xml:space="preserve">тельно </w:t>
            </w:r>
          </w:p>
        </w:tc>
      </w:tr>
      <w:tr w:rsidR="00671E7D" w:rsidRPr="00472C65" w:rsidTr="006E53B2">
        <w:tc>
          <w:tcPr>
            <w:tcW w:w="1622" w:type="dxa"/>
            <w:vMerge w:val="restart"/>
          </w:tcPr>
          <w:p w:rsidR="00671E7D" w:rsidRPr="00472C65" w:rsidRDefault="00671E7D" w:rsidP="009E06F9">
            <w:r w:rsidRPr="00472C65">
              <w:t>Повышенный</w:t>
            </w:r>
          </w:p>
        </w:tc>
        <w:tc>
          <w:tcPr>
            <w:tcW w:w="826" w:type="dxa"/>
          </w:tcPr>
          <w:p w:rsidR="00671E7D" w:rsidRPr="00472C65" w:rsidRDefault="00671E7D" w:rsidP="009E06F9">
            <w:pPr>
              <w:jc w:val="center"/>
            </w:pPr>
            <w:r w:rsidRPr="00472C65">
              <w:t>ПУ 1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>Знает, понимает основные определения и законы теории, демонстрирует умение применять их для выполнения задания, в котором нет явно указанных способов решения, оценивает достоверность полученного решения. Владеет символикой, основными приёмами доказательства законов</w:t>
            </w:r>
            <w:r>
              <w:t xml:space="preserve"> и утверждений. Знает идеологию </w:t>
            </w:r>
            <w:r w:rsidRPr="004F4DFF">
              <w:t xml:space="preserve">проектирования </w:t>
            </w:r>
            <w:r>
              <w:t>интеллектуальных электрических систем.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t>Хорошо</w:t>
            </w:r>
          </w:p>
        </w:tc>
      </w:tr>
      <w:tr w:rsidR="00671E7D" w:rsidRPr="00472C65" w:rsidTr="006E53B2">
        <w:tc>
          <w:tcPr>
            <w:tcW w:w="1622" w:type="dxa"/>
            <w:vMerge/>
          </w:tcPr>
          <w:p w:rsidR="00671E7D" w:rsidRPr="00472C65" w:rsidRDefault="00671E7D" w:rsidP="009E06F9"/>
        </w:tc>
        <w:tc>
          <w:tcPr>
            <w:tcW w:w="826" w:type="dxa"/>
          </w:tcPr>
          <w:p w:rsidR="00671E7D" w:rsidRPr="00472C65" w:rsidRDefault="00671E7D" w:rsidP="009E06F9">
            <w:pPr>
              <w:jc w:val="center"/>
            </w:pPr>
            <w:r w:rsidRPr="00472C65">
              <w:t>ПУ 2</w:t>
            </w:r>
          </w:p>
        </w:tc>
        <w:tc>
          <w:tcPr>
            <w:tcW w:w="4500" w:type="dxa"/>
          </w:tcPr>
          <w:p w:rsidR="00671E7D" w:rsidRPr="004F4DFF" w:rsidRDefault="00671E7D" w:rsidP="009E06F9">
            <w:pPr>
              <w:jc w:val="both"/>
            </w:pPr>
            <w:r w:rsidRPr="004F4DFF">
              <w:t xml:space="preserve">Знает, понимает основные определения, аксиомы и законы теории, демонстрирует умение аргументировано применять их для выполнения задания, в </w:t>
            </w:r>
            <w:r w:rsidRPr="004F4DFF">
              <w:lastRenderedPageBreak/>
              <w:t xml:space="preserve">котором нет явно указанных способов решения, оценивает достоверность полученного решения, проводит анализ решения, делает практические выводы и обобщения. Владеет методиками </w:t>
            </w:r>
            <w:r>
              <w:t xml:space="preserve">оптимизации эксплуатации </w:t>
            </w:r>
            <w:r w:rsidRPr="004F4DFF">
              <w:t xml:space="preserve"> существующих</w:t>
            </w:r>
            <w:r>
              <w:t xml:space="preserve"> электрических сетей</w:t>
            </w:r>
            <w:r w:rsidRPr="004F4DFF">
              <w:t xml:space="preserve"> Знает идеологию автоматизированного проектирования </w:t>
            </w:r>
            <w:r>
              <w:t>интеллектуальных электрических систем.</w:t>
            </w:r>
          </w:p>
        </w:tc>
        <w:tc>
          <w:tcPr>
            <w:tcW w:w="3366" w:type="dxa"/>
          </w:tcPr>
          <w:p w:rsidR="00671E7D" w:rsidRPr="00472C65" w:rsidRDefault="00671E7D" w:rsidP="009E06F9">
            <w:pPr>
              <w:jc w:val="center"/>
            </w:pPr>
            <w:r w:rsidRPr="00472C65">
              <w:lastRenderedPageBreak/>
              <w:t>Отлично</w:t>
            </w:r>
          </w:p>
        </w:tc>
      </w:tr>
    </w:tbl>
    <w:p w:rsidR="00671E7D" w:rsidRPr="00103781" w:rsidRDefault="00671E7D" w:rsidP="006E53B2">
      <w:pPr>
        <w:jc w:val="both"/>
      </w:pPr>
    </w:p>
    <w:p w:rsidR="00671E7D" w:rsidRPr="006E53B2" w:rsidRDefault="00671E7D" w:rsidP="00447499">
      <w:pPr>
        <w:pStyle w:val="a3"/>
        <w:spacing w:after="0" w:line="360" w:lineRule="auto"/>
        <w:ind w:left="0" w:firstLine="709"/>
        <w:jc w:val="center"/>
        <w:rPr>
          <w:rFonts w:ascii="Times New Roman" w:hAnsi="Times New Roman"/>
          <w:b/>
          <w:spacing w:val="40"/>
          <w:sz w:val="28"/>
          <w:szCs w:val="28"/>
        </w:rPr>
      </w:pPr>
      <w:r w:rsidRPr="006E53B2">
        <w:rPr>
          <w:rFonts w:ascii="Times New Roman" w:hAnsi="Times New Roman"/>
          <w:b/>
          <w:sz w:val="28"/>
          <w:szCs w:val="28"/>
        </w:rPr>
        <w:t>Критерии оценки соответствия подготовки выпускников требованиям ФГОС ВО по результатам защиты выпускных квалификационных работ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26"/>
        <w:gridCol w:w="6626"/>
      </w:tblGrid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>№</w:t>
            </w:r>
          </w:p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>п/п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 xml:space="preserve">Оценка </w:t>
            </w:r>
          </w:p>
        </w:tc>
        <w:tc>
          <w:tcPr>
            <w:tcW w:w="6626" w:type="dxa"/>
            <w:vAlign w:val="center"/>
          </w:tcPr>
          <w:p w:rsidR="00671E7D" w:rsidRPr="003C3403" w:rsidRDefault="00671E7D" w:rsidP="009E06F9">
            <w:pPr>
              <w:spacing w:line="312" w:lineRule="auto"/>
              <w:ind w:left="-57" w:right="-57"/>
              <w:jc w:val="center"/>
              <w:rPr>
                <w:b/>
                <w:bCs/>
              </w:rPr>
            </w:pPr>
            <w:r w:rsidRPr="003C3403">
              <w:rPr>
                <w:b/>
                <w:bCs/>
              </w:rPr>
              <w:t xml:space="preserve">Критерии 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1.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отлично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 xml:space="preserve">Соответствие содержания работы заданию. Глубина анализа и обоснованность разработанных предложений. Грамотность, логичность изложения, оригинальность подачи материала. Список и характер используемых литературных источников соответствуют современным взглядам отечественных и зарубежных специалистов по исследуемой проблеме. Дается его всесторонний анализ. Полно представлены фактические материалы, выводы аргументированы. </w:t>
            </w:r>
          </w:p>
          <w:p w:rsidR="00671E7D" w:rsidRPr="003C3403" w:rsidRDefault="00671E7D" w:rsidP="009E06F9">
            <w:pPr>
              <w:spacing w:line="312" w:lineRule="auto"/>
            </w:pPr>
            <w:r w:rsidRPr="003C3403">
              <w:t>Работа оформлена в соответствии с требованиями. Иллюстрированный материал выполнен хорошо и умело использован. Доклад на защите раскрывает содержание работы, ответы на вопросы членов ГЭК четкие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2.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хорошо</w:t>
            </w:r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Соответствие критериев в пункте 1 при достаточной глубине раскрытия темы, однако, имеются некоторые погрешности, не носящие принципиального характера. Ответы получены в основном на все вопросы членов ГЭК</w:t>
            </w:r>
            <w:r>
              <w:t>.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3.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t>удовлетвори-</w:t>
            </w:r>
            <w:proofErr w:type="spellStart"/>
            <w:r w:rsidRPr="003C3403">
              <w:t>тельно</w:t>
            </w:r>
            <w:proofErr w:type="spellEnd"/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Поверхностное выполнение одного из разделов: не исследована история рассматриваемых вопросов или недостаточно полно проанализировано современное состояние. Привлечен небольшой объ</w:t>
            </w:r>
            <w:r>
              <w:t>ё</w:t>
            </w:r>
            <w:r w:rsidRPr="003C3403">
              <w:t>м фактического материала, но его анализ выполнен на уровне констатации фактов или выводы расплывчаты, предположения не конкретны, не обоснованы. Работа оформлена небрежно. В рецензии есть замечания, некоторые из них принципиального характера</w:t>
            </w:r>
          </w:p>
        </w:tc>
      </w:tr>
      <w:tr w:rsidR="00671E7D" w:rsidRPr="003C3403" w:rsidTr="009E06F9">
        <w:trPr>
          <w:jc w:val="center"/>
        </w:trPr>
        <w:tc>
          <w:tcPr>
            <w:tcW w:w="567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r w:rsidRPr="003C3403">
              <w:lastRenderedPageBreak/>
              <w:t>4.</w:t>
            </w:r>
          </w:p>
        </w:tc>
        <w:tc>
          <w:tcPr>
            <w:tcW w:w="2126" w:type="dxa"/>
            <w:vAlign w:val="center"/>
          </w:tcPr>
          <w:p w:rsidR="00671E7D" w:rsidRPr="003C3403" w:rsidRDefault="00671E7D" w:rsidP="009E06F9">
            <w:pPr>
              <w:spacing w:line="312" w:lineRule="auto"/>
              <w:jc w:val="center"/>
            </w:pPr>
            <w:proofErr w:type="spellStart"/>
            <w:r w:rsidRPr="003C3403">
              <w:t>неудовлет-ворительно</w:t>
            </w:r>
            <w:proofErr w:type="spellEnd"/>
          </w:p>
        </w:tc>
        <w:tc>
          <w:tcPr>
            <w:tcW w:w="6626" w:type="dxa"/>
          </w:tcPr>
          <w:p w:rsidR="00671E7D" w:rsidRPr="003C3403" w:rsidRDefault="00671E7D" w:rsidP="009E06F9">
            <w:pPr>
              <w:spacing w:line="312" w:lineRule="auto"/>
            </w:pPr>
            <w:r w:rsidRPr="003C3403">
              <w:t>Содержание работы поверхностно, компилятивно. Имеются принципиальные замечания у рецензента. Доклад слабо раскрывает тему выпускной квалификационной работы, иллюстрационный материал поверхностен. Не получено ответов на большее количество вопросов членов ГЭК</w:t>
            </w:r>
          </w:p>
        </w:tc>
      </w:tr>
    </w:tbl>
    <w:p w:rsidR="00671E7D" w:rsidRDefault="00671E7D" w:rsidP="00447499"/>
    <w:sectPr w:rsidR="00671E7D" w:rsidSect="00C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A7D"/>
    <w:multiLevelType w:val="hybridMultilevel"/>
    <w:tmpl w:val="3364CEA4"/>
    <w:lvl w:ilvl="0" w:tplc="107A816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1F4C6D4B"/>
    <w:multiLevelType w:val="hybridMultilevel"/>
    <w:tmpl w:val="35707F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4F454F4F"/>
    <w:multiLevelType w:val="hybridMultilevel"/>
    <w:tmpl w:val="B3C86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726"/>
    <w:rsid w:val="00022CF0"/>
    <w:rsid w:val="0002407D"/>
    <w:rsid w:val="00060674"/>
    <w:rsid w:val="000C12C9"/>
    <w:rsid w:val="000F7BD7"/>
    <w:rsid w:val="00103781"/>
    <w:rsid w:val="00176F28"/>
    <w:rsid w:val="001A0FF5"/>
    <w:rsid w:val="001B2726"/>
    <w:rsid w:val="00303D2B"/>
    <w:rsid w:val="00330018"/>
    <w:rsid w:val="003C3403"/>
    <w:rsid w:val="003D3729"/>
    <w:rsid w:val="003F6750"/>
    <w:rsid w:val="00410655"/>
    <w:rsid w:val="00447499"/>
    <w:rsid w:val="00472C65"/>
    <w:rsid w:val="004F4DFF"/>
    <w:rsid w:val="00552CEB"/>
    <w:rsid w:val="00671E7D"/>
    <w:rsid w:val="006879B6"/>
    <w:rsid w:val="006E53B2"/>
    <w:rsid w:val="006F23D4"/>
    <w:rsid w:val="007E4114"/>
    <w:rsid w:val="00823813"/>
    <w:rsid w:val="009470D6"/>
    <w:rsid w:val="009535B3"/>
    <w:rsid w:val="009B5012"/>
    <w:rsid w:val="009B79C7"/>
    <w:rsid w:val="009E06F9"/>
    <w:rsid w:val="00AB44EA"/>
    <w:rsid w:val="00AF0C71"/>
    <w:rsid w:val="00B076D6"/>
    <w:rsid w:val="00B45B2C"/>
    <w:rsid w:val="00B73FFC"/>
    <w:rsid w:val="00C25EDF"/>
    <w:rsid w:val="00C5590E"/>
    <w:rsid w:val="00C77B2D"/>
    <w:rsid w:val="00C94F6C"/>
    <w:rsid w:val="00D14952"/>
    <w:rsid w:val="00D47B78"/>
    <w:rsid w:val="00D66E61"/>
    <w:rsid w:val="00D80FB9"/>
    <w:rsid w:val="00F00251"/>
    <w:rsid w:val="00F45B53"/>
    <w:rsid w:val="00F9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89117B"/>
  <w15:docId w15:val="{5EFA2A99-3EC7-4FB3-BE72-3EF2C5FB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2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447499"/>
    <w:pPr>
      <w:spacing w:before="200" w:line="271" w:lineRule="auto"/>
      <w:outlineLvl w:val="2"/>
    </w:pPr>
    <w:rPr>
      <w:rFonts w:ascii="Cambria" w:hAnsi="Cambria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1B2726"/>
    <w:rPr>
      <w:rFonts w:ascii="Times New Roman" w:hAnsi="Times New Roman"/>
      <w:color w:val="000000"/>
      <w:sz w:val="26"/>
    </w:rPr>
  </w:style>
  <w:style w:type="paragraph" w:customStyle="1" w:styleId="1">
    <w:name w:val="Абзац списка1"/>
    <w:basedOn w:val="a"/>
    <w:uiPriority w:val="99"/>
    <w:rsid w:val="001B272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1B2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locked/>
    <w:rsid w:val="00447499"/>
    <w:rPr>
      <w:rFonts w:ascii="Cambria" w:hAnsi="Cambria"/>
      <w:b/>
    </w:rPr>
  </w:style>
  <w:style w:type="paragraph" w:customStyle="1" w:styleId="2">
    <w:name w:val="Абзац списка2"/>
    <w:basedOn w:val="a"/>
    <w:uiPriority w:val="99"/>
    <w:rsid w:val="004474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</dc:creator>
  <cp:keywords/>
  <dc:description/>
  <cp:lastModifiedBy>User</cp:lastModifiedBy>
  <cp:revision>9</cp:revision>
  <dcterms:created xsi:type="dcterms:W3CDTF">2017-03-13T10:23:00Z</dcterms:created>
  <dcterms:modified xsi:type="dcterms:W3CDTF">2019-10-17T09:18:00Z</dcterms:modified>
</cp:coreProperties>
</file>